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-10" w:rightChars="-5"/>
        <w:jc w:val="both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6"/>
          <w:szCs w:val="36"/>
          <w:lang w:val="en-US" w:eastAsia="zh-CN"/>
        </w:rPr>
        <w:t xml:space="preserve"> 2.2  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实行最严格水资源管理制度专项工作测评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需要各单位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评分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  <w:t>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表</w:t>
      </w:r>
    </w:p>
    <w:tbl>
      <w:tblPr>
        <w:tblStyle w:val="4"/>
        <w:tblW w:w="0" w:type="auto"/>
        <w:tblInd w:w="-3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20"/>
        <w:gridCol w:w="1110"/>
        <w:gridCol w:w="4080"/>
        <w:gridCol w:w="4605"/>
        <w:gridCol w:w="930"/>
        <w:gridCol w:w="825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tblHeader/>
        </w:trPr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考核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类别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考核项目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Cs w:val="21"/>
                <w:lang w:eastAsia="zh-CN" w:bidi="ar"/>
              </w:rPr>
              <w:t>评分说明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_GB2312" w:cs="Times New Roman"/>
                <w:b/>
                <w:bCs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Cs w:val="21"/>
                <w:lang w:eastAsia="zh-CN" w:bidi="ar"/>
              </w:rPr>
              <w:t>赋分细则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_GB2312" w:cs="Times New Roman"/>
                <w:b/>
                <w:bCs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kern w:val="0"/>
                <w:szCs w:val="21"/>
                <w:lang w:eastAsia="zh-CN" w:bidi="ar"/>
              </w:rPr>
              <w:t>满分值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赋分方式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Cs w:val="21"/>
                <w:lang w:bidi="ar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节约用水管理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（32分）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用水强度控制实施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1.城市公共供水管网改造及漏损率控制情况。主要包括：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（1）有制定供水管网漏损控制计划，完成2022年城市供水管道老化更新改造任务。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（2）城市公共供水管网漏损率控制在 10%以下。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（1）有制定供水管网漏损控制计划，推进城市老旧公共供水管网改造，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完成年度更新改造任务的，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得0.5分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县城及以上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城市公共供水管网漏损率控制在10%以下的，得0.5分，超过不得分。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市住建管理局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</w:trPr>
        <w:tc>
          <w:tcPr>
            <w:tcW w:w="93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节水型社会建设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（10分）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1.节水型企业和园区建设情况。主要包括：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（1）国家、省、市三级重点监控用水单位名录中的钢铁、火电、纺织、造纸、石化和化工等高耗水行业节水型企业建设情况。节水型企业建成率不足100%的，按建成率赋分。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（2）节水标杆企业和节水标杆园区创建情况。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（1）国家、省、市三级重点监控用水单位名录中的钢铁、火电、纺织、造纸、石化和化工等高耗水行业节水型企业建设情况，1分。节水型企业建成率达100%的，得1分，不足100%的按建成率赋分。</w:t>
            </w:r>
          </w:p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（2）节水标杆企业和节水标杆园区创建情况，1分。本考核年度成功创建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家及以上省级节水标杆企业的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或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本考核年度成功创建省级节水标杆园区1家及以上的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，均可以得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未成功创建，但积极申请上报</w:t>
            </w:r>
            <w:r>
              <w:rPr>
                <w:rFonts w:eastAsia="仿宋_GB2312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节水标杆企业和节水标杆园区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的，</w:t>
            </w: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0.5分。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工业和信息化</w:t>
            </w:r>
            <w:r>
              <w:rPr>
                <w:rFonts w:hint="eastAsia" w:eastAsia="仿宋_GB2312" w:cs="Times New Roman"/>
                <w:color w:val="000000" w:themeColor="text1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3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vMerge w:val="continue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4.高效节水灌溉建设任务完成情况。包括统筹发展高效节水灌溉面积，以及建设任务完成情况。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在2022年度建成高效节水面积或在2022年度任务中有承担节水任务的，得1分，否则扣0.5分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市农业农村局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3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vMerge w:val="continue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6.再生水利用率情况。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zCs w:val="21"/>
                <w:highlight w:val="none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本项各县（市、区）为缺项。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扣分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市住建管理局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2" w:hRule="atLeast"/>
        </w:trPr>
        <w:tc>
          <w:tcPr>
            <w:tcW w:w="93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11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水价改革与水资源有偿使用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（5分）</w:t>
            </w:r>
          </w:p>
        </w:tc>
        <w:tc>
          <w:tcPr>
            <w:tcW w:w="4080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1.按照农业水价综合改革评估结果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赋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分。主要包括：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（1）累计完成改革实施面积达到改革任务的100%。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（2）年度新增改革面积供水计量到位。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（3）全部改革面积的农业用水总量指标分解到位。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（4）建立农业水价综合改革精准补贴和节水奖励机制。</w:t>
            </w:r>
          </w:p>
        </w:tc>
        <w:tc>
          <w:tcPr>
            <w:tcW w:w="4605" w:type="dxa"/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按照农业水价综合改革评估结果赋分。主要包括：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（1）累计完成改革实施面积达到改革任务的 100%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1分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。完成全部改革面积任务总量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，得1分；未完成全部改革面积任务的，按完成比例得分。</w:t>
            </w:r>
          </w:p>
          <w:p>
            <w:pPr>
              <w:widowControl/>
              <w:jc w:val="both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（2）年度新增改革面积供水计量到位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0.5分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。完成年度新增改革面积供水计量到位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，得0.5分；未完成的按完成比例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得分。</w:t>
            </w:r>
          </w:p>
          <w:p>
            <w:pPr>
              <w:pStyle w:val="3"/>
              <w:ind w:left="0" w:leftChars="0" w:firstLine="0" w:firstLineChars="0"/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）全部改革面积的农业用水总量指标分解到位，1分。6月底前完成全部改革面积农业用水总量指标分解的，得1分；12月底前，通过印发水权证、用水计划等方式完成全部改革面积水权确权工作的，得0.8分；未完成的不得分。</w:t>
            </w:r>
          </w:p>
          <w:p>
            <w:pPr>
              <w:pStyle w:val="3"/>
              <w:ind w:left="0" w:leftChars="0" w:firstLine="0" w:firstLineChars="0"/>
              <w:rPr>
                <w:rFonts w:hint="default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（4）建立农业水价综合改革精准补贴和节水奖励机制，0.5分。建立农业水价综合改革精准补贴和节水奖励机制的，得0.5分。</w:t>
            </w:r>
          </w:p>
        </w:tc>
        <w:tc>
          <w:tcPr>
            <w:tcW w:w="93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Cs w:val="21"/>
                <w:lang w:bidi="ar"/>
                <w14:textFill>
                  <w14:solidFill>
                    <w14:schemeClr w14:val="tx1"/>
                  </w14:solidFill>
                </w14:textFill>
              </w:rPr>
              <w:t>发改</w:t>
            </w:r>
            <w:r>
              <w:rPr>
                <w:rFonts w:hint="eastAsia" w:eastAsia="仿宋_GB2312" w:cs="Times New Roman"/>
                <w:color w:val="000000" w:themeColor="text1"/>
                <w:kern w:val="0"/>
                <w:szCs w:val="21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局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65D69"/>
    <w:rsid w:val="26865D69"/>
    <w:rsid w:val="34384763"/>
    <w:rsid w:val="6FE77673"/>
    <w:rsid w:val="7C82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2023-04-04T00:33:00Z</dcterms:created>
  <dc:creator>李华峰</dc:creator>
  <cp:lastModifiedBy>李华峰</cp:lastModifiedBy>
  <dcterms:modified xsi:type="dcterms:W3CDTF">2023-04-04T00:46:45Z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F6AF501549764070B88957533CA6F765</vt:lpwstr>
  </property>
</Properties>
</file>